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701EF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Společné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sportování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  <w:r>
        <w:rPr>
          <w:b/>
          <w:sz w:val="44"/>
          <w:szCs w:val="44"/>
        </w:rPr>
        <w:t xml:space="preserve"> - SPORTFEST</w:t>
      </w:r>
    </w:p>
    <w:p w:rsidR="00A87B8A" w:rsidRPr="00F03B39" w:rsidRDefault="00701EFB">
      <w:pPr>
        <w:jc w:val="center"/>
        <w:rPr>
          <w:rFonts w:ascii="Arial" w:hAnsi="Arial" w:cs="Arial"/>
          <w:b/>
          <w:sz w:val="44"/>
          <w:szCs w:val="44"/>
        </w:rPr>
      </w:pPr>
      <w:r w:rsidRPr="00F03B39">
        <w:rPr>
          <w:rFonts w:ascii="Arial" w:hAnsi="Arial" w:cs="Arial"/>
          <w:b/>
          <w:sz w:val="44"/>
          <w:szCs w:val="44"/>
        </w:rPr>
        <w:t>Gemeinsam Sporttreiben</w:t>
      </w:r>
      <w:r w:rsidR="00141115" w:rsidRPr="00F03B39">
        <w:rPr>
          <w:rFonts w:ascii="Arial" w:hAnsi="Arial" w:cs="Arial"/>
          <w:b/>
          <w:sz w:val="44"/>
          <w:szCs w:val="44"/>
        </w:rPr>
        <w:t xml:space="preserve"> in Sušice</w:t>
      </w:r>
      <w:r w:rsidRPr="00F03B39">
        <w:rPr>
          <w:rFonts w:ascii="Arial" w:hAnsi="Arial" w:cs="Arial"/>
          <w:b/>
          <w:sz w:val="44"/>
          <w:szCs w:val="44"/>
        </w:rPr>
        <w:t xml:space="preserve"> - SPORTFEST</w:t>
      </w:r>
    </w:p>
    <w:p w:rsidR="001B7092" w:rsidRPr="00F03B39" w:rsidRDefault="005C4829" w:rsidP="005C4829">
      <w:pPr>
        <w:jc w:val="center"/>
        <w:rPr>
          <w:rFonts w:ascii="Arial" w:hAnsi="Arial" w:cs="Arial"/>
          <w:b/>
          <w:sz w:val="28"/>
          <w:szCs w:val="28"/>
        </w:rPr>
      </w:pPr>
      <w:r w:rsidRPr="00F03B39">
        <w:rPr>
          <w:rFonts w:ascii="Arial" w:hAnsi="Arial" w:cs="Arial"/>
          <w:b/>
          <w:sz w:val="28"/>
          <w:szCs w:val="28"/>
        </w:rPr>
        <w:t xml:space="preserve">SPORTFEST    </w:t>
      </w:r>
      <w:r w:rsidR="00F03B39" w:rsidRPr="00F03B39">
        <w:rPr>
          <w:rFonts w:ascii="Arial" w:hAnsi="Arial" w:cs="Arial"/>
          <w:b/>
          <w:sz w:val="24"/>
          <w:szCs w:val="24"/>
        </w:rPr>
        <w:t>10. – 11. 12. 2018</w:t>
      </w: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03B39">
        <w:rPr>
          <w:rFonts w:ascii="Arial" w:hAnsi="Arial" w:cs="Arial"/>
          <w:b/>
          <w:sz w:val="28"/>
          <w:szCs w:val="28"/>
        </w:rPr>
        <w:t>Pracovní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B39">
        <w:rPr>
          <w:rFonts w:ascii="Arial" w:hAnsi="Arial" w:cs="Arial"/>
          <w:b/>
          <w:sz w:val="28"/>
          <w:szCs w:val="28"/>
        </w:rPr>
        <w:t>list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– Arbeitsblatt</w:t>
      </w:r>
    </w:p>
    <w:p w:rsidR="00086FC2" w:rsidRPr="00F03B39" w:rsidRDefault="00086FC2" w:rsidP="00965E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0700D" w:rsidRPr="0080700D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b/>
          <w:bCs/>
          <w:color w:val="222222"/>
          <w:lang w:val="cs-CZ" w:eastAsia="cs-CZ"/>
        </w:rPr>
        <w:t>Mazurka</w:t>
      </w:r>
      <w:r w:rsidRPr="0080700D">
        <w:rPr>
          <w:rFonts w:ascii="Arial" w:eastAsia="Times New Roman" w:hAnsi="Arial" w:cs="Arial"/>
          <w:color w:val="222222"/>
          <w:lang w:val="cs-CZ" w:eastAsia="cs-CZ"/>
        </w:rPr>
        <w:t xml:space="preserve"> je původem polský </w:t>
      </w:r>
      <w:r w:rsidRPr="0080700D">
        <w:rPr>
          <w:rFonts w:ascii="Arial" w:eastAsia="Times New Roman" w:hAnsi="Arial" w:cs="Arial"/>
          <w:lang w:val="cs-CZ" w:eastAsia="cs-CZ"/>
        </w:rPr>
        <w:t>lidový </w:t>
      </w:r>
      <w:hyperlink r:id="rId8" w:tooltip="Tanec" w:history="1">
        <w:r w:rsidRPr="0080700D">
          <w:rPr>
            <w:rFonts w:ascii="Arial" w:eastAsia="Times New Roman" w:hAnsi="Arial" w:cs="Arial"/>
            <w:lang w:val="cs-CZ" w:eastAsia="cs-CZ"/>
          </w:rPr>
          <w:t>tanec</w:t>
        </w:r>
      </w:hyperlink>
      <w:r w:rsidRPr="0080700D">
        <w:rPr>
          <w:rFonts w:ascii="Arial" w:eastAsia="Times New Roman" w:hAnsi="Arial" w:cs="Arial"/>
          <w:lang w:val="cs-CZ" w:eastAsia="cs-CZ"/>
        </w:rPr>
        <w:t> obvykle živého tempa v třídobém taktu a také hudební skladba stejného rytmu. První doba</w:t>
      </w:r>
      <w:r w:rsidRPr="0080700D">
        <w:rPr>
          <w:rFonts w:ascii="Arial" w:eastAsia="Times New Roman" w:hAnsi="Arial" w:cs="Arial"/>
          <w:color w:val="222222"/>
          <w:lang w:val="cs-CZ" w:eastAsia="cs-CZ"/>
        </w:rPr>
        <w:t xml:space="preserve"> bývá rytmicky členitá, objevuje se v ní například triola, trylek, nebo dvojice kratších not; zbylé dvě doby jsou rytmicky jednodušší a jedna z nich je akcentována.</w:t>
      </w:r>
    </w:p>
    <w:p w:rsidR="00553D13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color w:val="222222"/>
          <w:lang w:val="cs-CZ" w:eastAsia="cs-CZ"/>
        </w:rPr>
        <w:t>V 19. století se mazurka stala poměrně oblíbeným společenským tancem v mnoha částech Evropy.</w:t>
      </w:r>
    </w:p>
    <w:p w:rsidR="0080700D" w:rsidRPr="00553D13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color w:val="222222"/>
          <w:lang w:val="cs-CZ" w:eastAsia="cs-CZ"/>
        </w:rPr>
        <w:t>Mezi nejznámější mazurky, které vytvořili klasičtí hudební skladatelé, patří díla </w:t>
      </w:r>
      <w:hyperlink r:id="rId9" w:tooltip="Fryderyk Chopin" w:history="1">
        <w:r w:rsidR="009662C6">
          <w:rPr>
            <w:rFonts w:ascii="Arial" w:eastAsia="Times New Roman" w:hAnsi="Arial" w:cs="Arial"/>
            <w:lang w:val="cs-CZ" w:eastAsia="cs-CZ"/>
          </w:rPr>
          <w:t>Fre</w:t>
        </w:r>
        <w:r w:rsidRPr="0080700D">
          <w:rPr>
            <w:rFonts w:ascii="Arial" w:eastAsia="Times New Roman" w:hAnsi="Arial" w:cs="Arial"/>
            <w:lang w:val="cs-CZ" w:eastAsia="cs-CZ"/>
          </w:rPr>
          <w:t>derika Chopina</w:t>
        </w:r>
      </w:hyperlink>
      <w:r w:rsidRPr="0080700D">
        <w:rPr>
          <w:rFonts w:ascii="Arial" w:eastAsia="Times New Roman" w:hAnsi="Arial" w:cs="Arial"/>
          <w:lang w:val="cs-CZ" w:eastAsia="cs-CZ"/>
        </w:rPr>
        <w:t>.</w:t>
      </w:r>
    </w:p>
    <w:p w:rsidR="00553D13" w:rsidRPr="0080700D" w:rsidRDefault="00553D13" w:rsidP="00553D13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84DA034" wp14:editId="750797C5">
            <wp:extent cx="3717290" cy="1223010"/>
            <wp:effectExtent l="0" t="0" r="0" b="0"/>
            <wp:docPr id="4" name="obrázek 1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1" w:rsidRPr="0080700D" w:rsidRDefault="00873571" w:rsidP="00553D13">
      <w:pPr>
        <w:spacing w:after="0"/>
        <w:rPr>
          <w:rFonts w:ascii="Arial" w:hAnsi="Arial" w:cs="Arial"/>
        </w:rPr>
      </w:pPr>
    </w:p>
    <w:p w:rsidR="0080700D" w:rsidRPr="0080700D" w:rsidRDefault="007566B2" w:rsidP="00553D13">
      <w:pPr>
        <w:spacing w:after="0"/>
        <w:rPr>
          <w:rFonts w:ascii="Arial" w:hAnsi="Arial" w:cs="Arial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1BBB5E1" wp14:editId="593D4191">
            <wp:simplePos x="0" y="0"/>
            <wp:positionH relativeFrom="column">
              <wp:posOffset>2540</wp:posOffset>
            </wp:positionH>
            <wp:positionV relativeFrom="paragraph">
              <wp:posOffset>785495</wp:posOffset>
            </wp:positionV>
            <wp:extent cx="1412875" cy="1059180"/>
            <wp:effectExtent l="0" t="0" r="0" b="0"/>
            <wp:wrapTight wrapText="bothSides">
              <wp:wrapPolygon edited="0">
                <wp:start x="0" y="0"/>
                <wp:lineTo x="0" y="21367"/>
                <wp:lineTo x="21260" y="21367"/>
                <wp:lineTo x="21260" y="0"/>
                <wp:lineTo x="0" y="0"/>
              </wp:wrapPolygon>
            </wp:wrapTight>
            <wp:docPr id="5" name="obrázek 2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F298438" wp14:editId="66C2296A">
            <wp:simplePos x="0" y="0"/>
            <wp:positionH relativeFrom="column">
              <wp:posOffset>4146550</wp:posOffset>
            </wp:positionH>
            <wp:positionV relativeFrom="paragraph">
              <wp:posOffset>13335</wp:posOffset>
            </wp:positionV>
            <wp:extent cx="14605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412" y="21049"/>
                <wp:lineTo x="21412" y="0"/>
                <wp:lineTo x="0" y="0"/>
              </wp:wrapPolygon>
            </wp:wrapTight>
            <wp:docPr id="6" name="obrázek 3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0D" w:rsidRPr="0080700D">
        <w:rPr>
          <w:rFonts w:ascii="Arial" w:hAnsi="Arial" w:cs="Arial"/>
          <w:b/>
        </w:rPr>
        <w:t xml:space="preserve">Mazurka </w:t>
      </w:r>
      <w:r w:rsidR="0080700D" w:rsidRPr="0080700D">
        <w:rPr>
          <w:rFonts w:ascii="Arial" w:hAnsi="Arial" w:cs="Arial"/>
        </w:rPr>
        <w:t xml:space="preserve">ist </w:t>
      </w:r>
      <w:r w:rsidR="0080700D">
        <w:rPr>
          <w:rFonts w:ascii="Arial" w:hAnsi="Arial" w:cs="Arial"/>
        </w:rPr>
        <w:t xml:space="preserve">im </w:t>
      </w:r>
      <w:r w:rsidR="0080700D" w:rsidRPr="0080700D">
        <w:rPr>
          <w:rFonts w:ascii="Arial" w:hAnsi="Arial" w:cs="Arial"/>
        </w:rPr>
        <w:t>Ursprung polnische</w:t>
      </w:r>
      <w:r w:rsidR="0080700D">
        <w:rPr>
          <w:rFonts w:ascii="Arial" w:hAnsi="Arial" w:cs="Arial"/>
        </w:rPr>
        <w:t>r Volkstanz</w:t>
      </w:r>
      <w:r w:rsidR="0080700D" w:rsidRPr="0080700D">
        <w:rPr>
          <w:rFonts w:ascii="Arial" w:hAnsi="Arial" w:cs="Arial"/>
        </w:rPr>
        <w:t xml:space="preserve">, meist </w:t>
      </w:r>
      <w:r w:rsidR="0080700D">
        <w:rPr>
          <w:rFonts w:ascii="Arial" w:hAnsi="Arial" w:cs="Arial"/>
        </w:rPr>
        <w:t>im lebhaften</w:t>
      </w:r>
      <w:r w:rsidR="0080700D" w:rsidRPr="0080700D">
        <w:rPr>
          <w:rFonts w:ascii="Arial" w:hAnsi="Arial" w:cs="Arial"/>
        </w:rPr>
        <w:t xml:space="preserve"> </w:t>
      </w:r>
      <w:r w:rsidR="0080700D">
        <w:rPr>
          <w:rFonts w:ascii="Arial" w:hAnsi="Arial" w:cs="Arial"/>
        </w:rPr>
        <w:t>Takt</w:t>
      </w:r>
      <w:r w:rsidR="0080700D" w:rsidRPr="0080700D">
        <w:rPr>
          <w:rFonts w:ascii="Arial" w:hAnsi="Arial" w:cs="Arial"/>
        </w:rPr>
        <w:t xml:space="preserve"> in einer Dreischlagmelodie, sowie eine musikalische Komposition im selben Rhythmus. Die erste Periode ist rhythmisch fragmentiert, zum Beispiel </w:t>
      </w:r>
      <w:r w:rsidR="009662C6">
        <w:rPr>
          <w:rFonts w:ascii="Arial" w:hAnsi="Arial" w:cs="Arial"/>
        </w:rPr>
        <w:t xml:space="preserve">Tirili </w:t>
      </w:r>
      <w:r w:rsidR="0080700D" w:rsidRPr="0080700D">
        <w:rPr>
          <w:rFonts w:ascii="Arial" w:hAnsi="Arial" w:cs="Arial"/>
        </w:rPr>
        <w:t>oder zwei kürzere Noten; die restlichen zwei Z</w:t>
      </w:r>
      <w:r w:rsidR="0080700D">
        <w:rPr>
          <w:rFonts w:ascii="Arial" w:hAnsi="Arial" w:cs="Arial"/>
        </w:rPr>
        <w:t>eiten sind rhythmisch einfacher.</w:t>
      </w:r>
    </w:p>
    <w:p w:rsidR="0080700D" w:rsidRPr="0080700D" w:rsidRDefault="0080700D" w:rsidP="00553D13">
      <w:pPr>
        <w:spacing w:after="0"/>
        <w:rPr>
          <w:rFonts w:ascii="Arial" w:hAnsi="Arial" w:cs="Arial"/>
        </w:rPr>
      </w:pPr>
      <w:r w:rsidRPr="0080700D">
        <w:rPr>
          <w:rFonts w:ascii="Arial" w:hAnsi="Arial" w:cs="Arial"/>
        </w:rPr>
        <w:t>Im 19. Jahrhundert wurde Mazurka in vielen Teilen Europas zu einem beliebten Gesellschaftstanz.</w:t>
      </w:r>
    </w:p>
    <w:p w:rsidR="00E209EF" w:rsidRDefault="0080700D" w:rsidP="00553D13">
      <w:pPr>
        <w:spacing w:after="0"/>
        <w:rPr>
          <w:rFonts w:ascii="Arial" w:hAnsi="Arial" w:cs="Arial"/>
        </w:rPr>
      </w:pPr>
      <w:r w:rsidRPr="0080700D">
        <w:rPr>
          <w:rFonts w:ascii="Arial" w:hAnsi="Arial" w:cs="Arial"/>
        </w:rPr>
        <w:t xml:space="preserve">Zu den bekanntesten </w:t>
      </w:r>
      <w:r>
        <w:rPr>
          <w:rFonts w:ascii="Arial" w:hAnsi="Arial" w:cs="Arial"/>
        </w:rPr>
        <w:t>Mazurkas</w:t>
      </w:r>
      <w:r w:rsidRPr="0080700D">
        <w:rPr>
          <w:rFonts w:ascii="Arial" w:hAnsi="Arial" w:cs="Arial"/>
        </w:rPr>
        <w:t>, die von Komponisten der klassischen Mus</w:t>
      </w:r>
      <w:r w:rsidR="009662C6">
        <w:rPr>
          <w:rFonts w:ascii="Arial" w:hAnsi="Arial" w:cs="Arial"/>
        </w:rPr>
        <w:t>ik geschaffen wurden, zählen Fre</w:t>
      </w:r>
      <w:r w:rsidRPr="0080700D">
        <w:rPr>
          <w:rFonts w:ascii="Arial" w:hAnsi="Arial" w:cs="Arial"/>
        </w:rPr>
        <w:t>deric Chopins Werke.</w:t>
      </w:r>
    </w:p>
    <w:p w:rsidR="00553D13" w:rsidRPr="0080700D" w:rsidRDefault="00553D13" w:rsidP="008070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6B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7566B2">
        <w:rPr>
          <w:rFonts w:ascii="Arial" w:hAnsi="Arial" w:cs="Arial"/>
        </w:rPr>
        <w:t xml:space="preserve"> </w:t>
      </w:r>
    </w:p>
    <w:p w:rsidR="0080700D" w:rsidRPr="00F03B39" w:rsidRDefault="0080700D" w:rsidP="0080700D">
      <w:pPr>
        <w:spacing w:after="0"/>
        <w:rPr>
          <w:rFonts w:ascii="Arial" w:hAnsi="Arial" w:cs="Arial"/>
          <w:sz w:val="20"/>
          <w:szCs w:val="20"/>
        </w:rPr>
      </w:pPr>
    </w:p>
    <w:p w:rsidR="00F36762" w:rsidRDefault="00553D13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odpovídající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výrazy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propoj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čárou</w:t>
      </w:r>
      <w:proofErr w:type="spellEnd"/>
      <w:r w:rsidR="00157988"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7988">
        <w:rPr>
          <w:rFonts w:ascii="Arial" w:hAnsi="Arial" w:cs="Arial"/>
          <w:b/>
          <w:sz w:val="24"/>
          <w:szCs w:val="24"/>
        </w:rPr>
        <w:t xml:space="preserve">Vokabeln </w:t>
      </w:r>
      <w:r>
        <w:rPr>
          <w:rFonts w:ascii="Arial" w:hAnsi="Arial" w:cs="Arial"/>
          <w:b/>
          <w:sz w:val="24"/>
          <w:szCs w:val="24"/>
        </w:rPr>
        <w:t>–</w:t>
      </w:r>
      <w:r w:rsidRPr="001579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verbinde entsprechende Ausdrücke:</w:t>
      </w:r>
    </w:p>
    <w:p w:rsidR="00764B12" w:rsidRPr="00157988" w:rsidRDefault="00764B1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  <w:sectPr w:rsidR="00553D13" w:rsidRPr="00157988" w:rsidSect="00F36762">
          <w:type w:val="continuous"/>
          <w:pgSz w:w="11906" w:h="16838"/>
          <w:pgMar w:top="1418" w:right="1274" w:bottom="1276" w:left="1417" w:header="0" w:footer="0" w:gutter="0"/>
          <w:cols w:space="708"/>
          <w:formProt w:val="0"/>
          <w:docGrid w:linePitch="360" w:charSpace="-2049"/>
        </w:sectPr>
      </w:pPr>
    </w:p>
    <w:p w:rsidR="00764B12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lastRenderedPageBreak/>
        <w:t>Tlakoměr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Tlak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Vysoký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Nízký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Počet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tepů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za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minutu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Rána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Obvaz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Zranění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Trekvence</w:t>
      </w:r>
      <w:proofErr w:type="spellEnd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tepu</w:t>
      </w:r>
      <w:proofErr w:type="spellEnd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Zátěž</w:t>
      </w:r>
      <w:proofErr w:type="spellEnd"/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Gumový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obvaz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Sebeobrana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Omotat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157988">
        <w:rPr>
          <w:rFonts w:ascii="Arial" w:hAnsi="Arial" w:cs="Arial"/>
          <w:sz w:val="24"/>
          <w:szCs w:val="24"/>
        </w:rPr>
        <w:t>koleno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obvazem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Hmatat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Korálek</w:t>
      </w:r>
      <w:proofErr w:type="spellEnd"/>
    </w:p>
    <w:p w:rsidR="009662C6" w:rsidRPr="00157988" w:rsidRDefault="00157988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Soutěžit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Pravidelný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dech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Tančit</w:t>
      </w:r>
      <w:proofErr w:type="spellEnd"/>
    </w:p>
    <w:p w:rsid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Vlastní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Eigener </w:t>
      </w:r>
      <w:r w:rsidRPr="00157988">
        <w:rPr>
          <w:rFonts w:ascii="Arial" w:hAnsi="Arial" w:cs="Arial"/>
          <w:b/>
          <w:sz w:val="24"/>
          <w:szCs w:val="24"/>
        </w:rPr>
        <w:t>Wortschatz: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lastRenderedPageBreak/>
        <w:t>Hoch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Niedrig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 xml:space="preserve">Druckmesser 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Puls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Anzahl der Schläge pro Minute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Druck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regelmäßiger Atem/Puls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Wunde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das Knie mit einem Verband umwickeln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Verletzung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Die Perle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Den Puls fühlen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Verband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color w:val="000000"/>
          <w:sz w:val="24"/>
          <w:szCs w:val="24"/>
          <w:shd w:val="clear" w:color="auto" w:fill="FFFFFF"/>
        </w:rPr>
        <w:t>Pulsfrequenz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Gummibinde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Wetteifern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Tanzen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Belastung</w:t>
      </w:r>
    </w:p>
    <w:p w:rsidR="00553D13" w:rsidRPr="00157988" w:rsidRDefault="007566B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9662C6" w:rsidRPr="00157988">
          <w:rPr>
            <w:rFonts w:ascii="Arial" w:hAnsi="Arial" w:cs="Arial"/>
            <w:sz w:val="24"/>
            <w:szCs w:val="24"/>
            <w:shd w:val="clear" w:color="auto" w:fill="FFFFFF"/>
          </w:rPr>
          <w:t>Selbstverteidigung</w:t>
        </w:r>
      </w:hyperlink>
      <w:r w:rsidR="009662C6" w:rsidRPr="0015798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C6" w:rsidRPr="00157988" w:rsidRDefault="009662C6" w:rsidP="00F36762">
      <w:pPr>
        <w:spacing w:after="0" w:line="240" w:lineRule="auto"/>
        <w:rPr>
          <w:rFonts w:ascii="Arial" w:hAnsi="Arial" w:cs="Arial"/>
          <w:sz w:val="24"/>
          <w:szCs w:val="24"/>
        </w:rPr>
        <w:sectPr w:rsidR="009662C6" w:rsidRPr="00157988" w:rsidSect="00553D13">
          <w:type w:val="continuous"/>
          <w:pgSz w:w="11906" w:h="16838"/>
          <w:pgMar w:top="1418" w:right="1274" w:bottom="1276" w:left="1417" w:header="0" w:footer="0" w:gutter="0"/>
          <w:cols w:num="2" w:space="708"/>
          <w:formProt w:val="0"/>
          <w:docGrid w:linePitch="360" w:charSpace="-2049"/>
        </w:sectPr>
      </w:pPr>
    </w:p>
    <w:p w:rsidR="00764B12" w:rsidRPr="00157988" w:rsidRDefault="00157988" w:rsidP="00157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  <w:bookmarkStart w:id="0" w:name="_GoBack"/>
      <w:bookmarkEnd w:id="0"/>
    </w:p>
    <w:sectPr w:rsidR="00764B12" w:rsidRPr="00157988" w:rsidSect="00F36762">
      <w:type w:val="continuous"/>
      <w:pgSz w:w="11906" w:h="16838"/>
      <w:pgMar w:top="1418" w:right="1274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37E0E44"/>
    <w:multiLevelType w:val="multilevel"/>
    <w:tmpl w:val="6A9C4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FE2D06"/>
    <w:multiLevelType w:val="multilevel"/>
    <w:tmpl w:val="018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6A51"/>
    <w:multiLevelType w:val="hybridMultilevel"/>
    <w:tmpl w:val="3450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5BB"/>
    <w:multiLevelType w:val="hybridMultilevel"/>
    <w:tmpl w:val="588C72A2"/>
    <w:lvl w:ilvl="0" w:tplc="F9108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35758"/>
    <w:rsid w:val="00086FC2"/>
    <w:rsid w:val="000D0298"/>
    <w:rsid w:val="00141115"/>
    <w:rsid w:val="001457E5"/>
    <w:rsid w:val="00153BD5"/>
    <w:rsid w:val="00157988"/>
    <w:rsid w:val="001B154B"/>
    <w:rsid w:val="001B7092"/>
    <w:rsid w:val="001B7E6F"/>
    <w:rsid w:val="001F575B"/>
    <w:rsid w:val="00204F37"/>
    <w:rsid w:val="00220912"/>
    <w:rsid w:val="00220CD3"/>
    <w:rsid w:val="00236772"/>
    <w:rsid w:val="002920D3"/>
    <w:rsid w:val="002D0EF6"/>
    <w:rsid w:val="00353147"/>
    <w:rsid w:val="003D51C1"/>
    <w:rsid w:val="00477660"/>
    <w:rsid w:val="00511C9C"/>
    <w:rsid w:val="00553D13"/>
    <w:rsid w:val="00595DEA"/>
    <w:rsid w:val="005B6170"/>
    <w:rsid w:val="005C4829"/>
    <w:rsid w:val="00634853"/>
    <w:rsid w:val="006B0398"/>
    <w:rsid w:val="00701EFB"/>
    <w:rsid w:val="007566B2"/>
    <w:rsid w:val="00764B12"/>
    <w:rsid w:val="00765A52"/>
    <w:rsid w:val="0080700D"/>
    <w:rsid w:val="00841448"/>
    <w:rsid w:val="00873571"/>
    <w:rsid w:val="00883C39"/>
    <w:rsid w:val="008F71F4"/>
    <w:rsid w:val="009456B2"/>
    <w:rsid w:val="00950E38"/>
    <w:rsid w:val="009647FE"/>
    <w:rsid w:val="00965EFB"/>
    <w:rsid w:val="009662C6"/>
    <w:rsid w:val="009B2B01"/>
    <w:rsid w:val="009F3AE0"/>
    <w:rsid w:val="00A76F7B"/>
    <w:rsid w:val="00A87B8A"/>
    <w:rsid w:val="00AA2A72"/>
    <w:rsid w:val="00AA6C6E"/>
    <w:rsid w:val="00AE1DA8"/>
    <w:rsid w:val="00AE661D"/>
    <w:rsid w:val="00AF51B5"/>
    <w:rsid w:val="00B37564"/>
    <w:rsid w:val="00B404F3"/>
    <w:rsid w:val="00C0691D"/>
    <w:rsid w:val="00C817CB"/>
    <w:rsid w:val="00CE28D9"/>
    <w:rsid w:val="00CE33B0"/>
    <w:rsid w:val="00D772A0"/>
    <w:rsid w:val="00DF7C53"/>
    <w:rsid w:val="00E209EF"/>
    <w:rsid w:val="00E211D0"/>
    <w:rsid w:val="00E64A93"/>
    <w:rsid w:val="00EC4623"/>
    <w:rsid w:val="00F03B39"/>
    <w:rsid w:val="00F33627"/>
    <w:rsid w:val="00F36762"/>
    <w:rsid w:val="00F617BB"/>
    <w:rsid w:val="00F71977"/>
    <w:rsid w:val="00F9088A"/>
    <w:rsid w:val="00F96D28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table" w:styleId="Mkatabulky">
    <w:name w:val="Table Grid"/>
    <w:basedOn w:val="Normlntabulka"/>
    <w:rsid w:val="00F96D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81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6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6468">
          <w:marLeft w:val="0"/>
          <w:marRight w:val="0"/>
          <w:marTop w:val="0"/>
          <w:marBottom w:val="300"/>
          <w:divBdr>
            <w:top w:val="single" w:sz="6" w:space="15" w:color="C7C7C7"/>
            <w:left w:val="none" w:sz="0" w:space="0" w:color="auto"/>
            <w:bottom w:val="single" w:sz="6" w:space="15" w:color="C7C7C7"/>
            <w:right w:val="none" w:sz="0" w:space="0" w:color="auto"/>
          </w:divBdr>
          <w:divsChild>
            <w:div w:id="480149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nec" TargetMode="External"/><Relationship Id="rId13" Type="http://schemas.openxmlformats.org/officeDocument/2006/relationships/hyperlink" Target="https://slovnik.seznam.cz/de-cz/?q=Selbstverteidigu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Fryderyk_Chop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10DE-5A9E-4671-BA45-BDF4FE4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21</cp:revision>
  <cp:lastPrinted>2018-10-18T06:47:00Z</cp:lastPrinted>
  <dcterms:created xsi:type="dcterms:W3CDTF">2018-09-22T11:33:00Z</dcterms:created>
  <dcterms:modified xsi:type="dcterms:W3CDTF">2019-10-08T16:54:00Z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